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3BCEB94" w14:textId="77777777" w:rsidR="00162B72" w:rsidRDefault="002B602D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-</w:t>
                                      </w:r>
                                    </w:p>
                                    <w:p w14:paraId="6C998CA0" w14:textId="08F6EBB3" w:rsidR="002B602D" w:rsidRPr="007C5AE6" w:rsidRDefault="002B602D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4F66C45E" w:rsidR="00D116F0" w:rsidRPr="00D116F0" w:rsidRDefault="002B602D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11 ივლისი -  18 ივლისი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2F6EED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3BCEB94" w14:textId="77777777" w:rsidR="00162B72" w:rsidRDefault="002B602D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-</w:t>
                                </w:r>
                              </w:p>
                              <w:p w14:paraId="6C998CA0" w14:textId="08F6EBB3" w:rsidR="002B602D" w:rsidRPr="007C5AE6" w:rsidRDefault="002B602D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4F66C45E" w:rsidR="00D116F0" w:rsidRPr="00D116F0" w:rsidRDefault="002B602D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11 ივლისი -  18 ივლისი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2F6EED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35C2D242" w:rsidR="00162B72" w:rsidRDefault="002B602D" w:rsidP="00342FB7">
                                <w:pP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კონდიცირების სისტემის მოწყობა</w:t>
                                </w:r>
                              </w:p>
                              <w:p w14:paraId="3FA4F11E" w14:textId="77777777" w:rsidR="002B602D" w:rsidRPr="002B602D" w:rsidRDefault="002B602D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35C2D242" w:rsidR="00162B72" w:rsidRDefault="002B602D" w:rsidP="00342FB7">
                          <w:pP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კონდიცირების სისტემის მოწყობა</w:t>
                          </w:r>
                        </w:p>
                        <w:p w14:paraId="3FA4F11E" w14:textId="77777777" w:rsidR="002B602D" w:rsidRPr="002B602D" w:rsidRDefault="002B602D" w:rsidP="00342FB7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2F6EE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2F6EED">
          <w:pPr>
            <w:pStyle w:val="TOC1"/>
            <w:rPr>
              <w:noProof/>
              <w:lang w:val="ka-GE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1FFE0304" w14:textId="77777777" w:rsidR="00342FB7" w:rsidRPr="00342FB7" w:rsidRDefault="00342FB7" w:rsidP="00342FB7">
          <w:pPr>
            <w:rPr>
              <w:lang w:val="ka-GE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3DDA5FA2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2B602D">
        <w:rPr>
          <w:rFonts w:eastAsiaTheme="minorEastAsia"/>
          <w:lang w:val="ka-GE" w:eastAsia="ja-JP"/>
        </w:rPr>
        <w:t xml:space="preserve">კონდიცირების სისტემის მოწყობაზე. </w:t>
      </w:r>
      <w:r w:rsidR="00D116F0">
        <w:rPr>
          <w:rFonts w:eastAsiaTheme="minorEastAsia"/>
          <w:lang w:val="ka-GE" w:eastAsia="ja-JP"/>
        </w:rPr>
        <w:t xml:space="preserve">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4810151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4810152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2C2DA6DC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B602D">
        <w:rPr>
          <w:lang w:val="ka-GE"/>
        </w:rPr>
        <w:t xml:space="preserve">კონკრეტულ ობიექტზე კონდიცირების მოწყობის სამუშაოების შესრულებაზე ხელშეკრულების გაფორმების მიზნით. შესრულების დაწყებამდე აუცილებელია პროექტის მომზადება, რომელიც უნდა დადასტურდეს ბანკის მხრიდან. </w:t>
      </w:r>
    </w:p>
    <w:p w14:paraId="36AE9B1C" w14:textId="77777777" w:rsidR="0047356C" w:rsidRDefault="0047356C" w:rsidP="0082350A">
      <w:pPr>
        <w:rPr>
          <w:lang w:val="ka-GE"/>
        </w:rPr>
      </w:pPr>
    </w:p>
    <w:p w14:paraId="3A3587E0" w14:textId="03E43CE8" w:rsidR="0082350A" w:rsidRDefault="002B602D" w:rsidP="0082350A">
      <w:pPr>
        <w:rPr>
          <w:lang w:val="ka-GE"/>
        </w:rPr>
      </w:pPr>
      <w:r>
        <w:rPr>
          <w:lang w:val="ka-GE"/>
        </w:rPr>
        <w:t xml:space="preserve">აუცილებელი მოთხხოვნაა, რომ კომპანიას აგრეგატები ჰქონდეს ადგილზე და ტენდერში გამარჯვების შემთხვევაში და პროექტის დადასტურების შემდეგ მყისიერად შეძლოს სამუშაოების დაწყება. </w:t>
      </w:r>
    </w:p>
    <w:p w14:paraId="341B4650" w14:textId="77777777" w:rsidR="002B602D" w:rsidRDefault="002B602D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4810154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4810155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20A92F9F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lastRenderedPageBreak/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534810156"/>
      <w:r>
        <w:t>დამატებითი ინფორმაცი</w:t>
      </w:r>
      <w:bookmarkEnd w:id="8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AE552DB" w14:textId="66013B10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534810159"/>
      <w:r>
        <w:t>დანართი 1: ფასების ცხრილი</w:t>
      </w:r>
      <w:bookmarkEnd w:id="10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040"/>
        <w:gridCol w:w="1500"/>
        <w:gridCol w:w="1500"/>
      </w:tblGrid>
      <w:tr w:rsidR="002B602D" w:rsidRPr="002B602D" w14:paraId="2A898A78" w14:textId="4B69A27B" w:rsidTr="002B602D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0CA" w14:textId="77777777" w:rsidR="002B602D" w:rsidRPr="002B602D" w:rsidRDefault="002B602D" w:rsidP="002B602D">
            <w:pPr>
              <w:jc w:val="center"/>
              <w:rPr>
                <w:rFonts w:ascii="Avaza" w:eastAsia="Times New Roman" w:hAnsi="Avaz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602D">
              <w:rPr>
                <w:rFonts w:eastAsia="Times New Roman" w:cs="Sylfaen"/>
                <w:b/>
                <w:bCs/>
                <w:color w:val="000000"/>
                <w:sz w:val="24"/>
                <w:szCs w:val="24"/>
              </w:rPr>
              <w:t>ვრვ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44A8" w14:textId="77777777" w:rsidR="002B602D" w:rsidRPr="002B602D" w:rsidRDefault="002B602D" w:rsidP="002B60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B602D">
              <w:rPr>
                <w:rFonts w:eastAsia="Times New Roma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1500" w:type="dxa"/>
            <w:vAlign w:val="bottom"/>
          </w:tcPr>
          <w:p w14:paraId="2E8B151D" w14:textId="28B5B781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cs="Sylfaen"/>
                <w:color w:val="000000"/>
              </w:rPr>
              <w:t>ერთეული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cs="Sylfaen"/>
                <w:color w:val="000000"/>
              </w:rPr>
              <w:t>ფასი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</w:rPr>
              <w:t>დღგ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cs="Sylfaen"/>
                <w:color w:val="000000"/>
              </w:rPr>
              <w:t>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cs="Sylfaen"/>
                <w:color w:val="000000"/>
              </w:rPr>
              <w:t>ჩათვლით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2B602D" w:rsidRPr="002B602D" w14:paraId="6DCFF314" w14:textId="5E4D8BA8" w:rsidTr="002B602D">
        <w:trPr>
          <w:trHeight w:val="28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E23A" w14:textId="2E2109C7" w:rsidR="002B602D" w:rsidRPr="002B602D" w:rsidRDefault="002B602D" w:rsidP="002B602D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lang w:val="ka-GE"/>
              </w:rPr>
              <w:t>ვრვ სისტემის გარე ბლოკი</w:t>
            </w:r>
            <w:r w:rsidRPr="002B602D">
              <w:rPr>
                <w:rFonts w:eastAsia="Times New Roman" w:cs="Arial"/>
                <w:color w:val="000000"/>
              </w:rPr>
              <w:t xml:space="preserve">  45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კვტ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9790" w14:textId="77777777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  <w:lang w:val="ka-GE"/>
              </w:rPr>
            </w:pPr>
            <w:r w:rsidRPr="002B602D">
              <w:rPr>
                <w:rFonts w:eastAsia="Times New Roman" w:cs="Arial"/>
                <w:color w:val="000000"/>
                <w:lang w:val="ka-GE"/>
              </w:rPr>
              <w:t>2 ცალი</w:t>
            </w:r>
          </w:p>
          <w:p w14:paraId="6CA0BF18" w14:textId="6A541806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FF383EC" w14:textId="77777777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602D" w:rsidRPr="002B602D" w14:paraId="14ADD90C" w14:textId="1C18D10C" w:rsidTr="002B602D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DBD" w14:textId="7D379CB6" w:rsidR="002F6EED" w:rsidRPr="002F6EED" w:rsidRDefault="002B602D" w:rsidP="002F6EED">
            <w:pPr>
              <w:jc w:val="left"/>
              <w:rPr>
                <w:rFonts w:eastAsia="Times New Roman" w:cs="Arial"/>
                <w:color w:val="auto"/>
              </w:rPr>
            </w:pPr>
            <w:proofErr w:type="spellStart"/>
            <w:r w:rsidRPr="002B602D">
              <w:rPr>
                <w:rFonts w:eastAsia="Times New Roman" w:cs="Sylfaen"/>
                <w:color w:val="auto"/>
              </w:rPr>
              <w:t>დასადგამი</w:t>
            </w:r>
            <w:proofErr w:type="spellEnd"/>
            <w:r w:rsidRPr="002B602D">
              <w:rPr>
                <w:rFonts w:eastAsia="Times New Roman" w:cs="Arial"/>
                <w:color w:val="auto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auto"/>
              </w:rPr>
              <w:t>ტიპის</w:t>
            </w:r>
            <w:proofErr w:type="spellEnd"/>
            <w:r w:rsidRPr="002B602D">
              <w:rPr>
                <w:rFonts w:eastAsia="Times New Roman" w:cs="Arial"/>
                <w:color w:val="auto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auto"/>
              </w:rPr>
              <w:t>შიდა</w:t>
            </w:r>
            <w:proofErr w:type="spellEnd"/>
            <w:r w:rsidRPr="002B602D">
              <w:rPr>
                <w:rFonts w:eastAsia="Times New Roman" w:cs="Arial"/>
                <w:color w:val="auto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auto"/>
              </w:rPr>
              <w:t>ბლოკი</w:t>
            </w:r>
            <w:proofErr w:type="spellEnd"/>
            <w:r w:rsidRPr="002B602D">
              <w:rPr>
                <w:rFonts w:eastAsia="Times New Roman" w:cs="Arial"/>
                <w:color w:val="auto"/>
              </w:rPr>
              <w:t xml:space="preserve"> 16 </w:t>
            </w:r>
            <w:proofErr w:type="spellStart"/>
            <w:r w:rsidRPr="002B602D">
              <w:rPr>
                <w:rFonts w:eastAsia="Times New Roman" w:cs="Sylfaen"/>
                <w:color w:val="auto"/>
              </w:rPr>
              <w:t>კვტ</w:t>
            </w:r>
            <w:proofErr w:type="spellEnd"/>
            <w:r w:rsidRPr="002B602D">
              <w:rPr>
                <w:rFonts w:eastAsia="Times New Roman" w:cs="Arial"/>
                <w:color w:val="auto"/>
              </w:rPr>
              <w:t xml:space="preserve"> </w:t>
            </w:r>
            <w:bookmarkStart w:id="11" w:name="_GoBack"/>
            <w:bookmarkEnd w:id="11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D263" w14:textId="77777777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  <w:lang w:val="ka-GE"/>
              </w:rPr>
            </w:pPr>
            <w:r w:rsidRPr="002B602D">
              <w:rPr>
                <w:rFonts w:eastAsia="Times New Roman" w:cs="Arial"/>
                <w:color w:val="000000"/>
                <w:lang w:val="ka-GE"/>
              </w:rPr>
              <w:t>6 ცალი</w:t>
            </w:r>
          </w:p>
          <w:p w14:paraId="57C0A604" w14:textId="146AE368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F188ACE" w14:textId="77777777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602D" w:rsidRPr="002B602D" w14:paraId="55ABC134" w14:textId="6B91EBAE" w:rsidTr="002B602D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2E0D" w14:textId="77777777" w:rsidR="002B602D" w:rsidRPr="002B602D" w:rsidRDefault="002B602D" w:rsidP="002B602D">
            <w:pPr>
              <w:jc w:val="left"/>
              <w:rPr>
                <w:rFonts w:eastAsia="Times New Roman" w:cs="Arial"/>
                <w:color w:val="000000"/>
              </w:rPr>
            </w:pPr>
            <w:proofErr w:type="spellStart"/>
            <w:r w:rsidRPr="002B602D">
              <w:rPr>
                <w:rFonts w:eastAsia="Times New Roman" w:cs="Sylfaen"/>
                <w:color w:val="000000"/>
              </w:rPr>
              <w:t>ვრვ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კონდიცნიონერის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გარე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ბლოკის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სადგამის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მოწყობა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9464" w14:textId="77777777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80B7329" w14:textId="77777777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602D" w:rsidRPr="002B602D" w14:paraId="5EB91014" w14:textId="4A4DDCF6" w:rsidTr="002B602D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D1EA" w14:textId="77777777" w:rsidR="002B602D" w:rsidRPr="002B602D" w:rsidRDefault="002B602D" w:rsidP="002B602D">
            <w:pPr>
              <w:jc w:val="left"/>
              <w:rPr>
                <w:rFonts w:eastAsia="Times New Roman" w:cs="Arial"/>
                <w:color w:val="000000"/>
              </w:rPr>
            </w:pPr>
            <w:proofErr w:type="spellStart"/>
            <w:r w:rsidRPr="002B602D">
              <w:rPr>
                <w:rFonts w:eastAsia="Times New Roman" w:cs="Sylfaen"/>
                <w:color w:val="000000"/>
              </w:rPr>
              <w:t>ვრვ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გარე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ბლოკის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მონტაჟი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D8AD" w14:textId="77777777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822A6E1" w14:textId="77777777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602D" w:rsidRPr="002B602D" w14:paraId="506A16FE" w14:textId="5468D396" w:rsidTr="002B602D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C80C" w14:textId="77777777" w:rsidR="002B602D" w:rsidRPr="002B602D" w:rsidRDefault="002B602D" w:rsidP="002B602D">
            <w:pPr>
              <w:jc w:val="left"/>
              <w:rPr>
                <w:rFonts w:eastAsia="Times New Roman" w:cs="Arial"/>
                <w:color w:val="000000"/>
              </w:rPr>
            </w:pPr>
            <w:proofErr w:type="spellStart"/>
            <w:r w:rsidRPr="002B602D">
              <w:rPr>
                <w:rFonts w:eastAsia="Times New Roman" w:cs="Sylfaen"/>
                <w:color w:val="000000"/>
              </w:rPr>
              <w:t>ვრვ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შიდა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ბლოკის</w:t>
            </w:r>
            <w:proofErr w:type="spellEnd"/>
            <w:r w:rsidRPr="002B602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B602D">
              <w:rPr>
                <w:rFonts w:eastAsia="Times New Roman" w:cs="Sylfaen"/>
                <w:color w:val="000000"/>
              </w:rPr>
              <w:t>მონტაჟი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6D12" w14:textId="77777777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48A1721" w14:textId="77777777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602D" w:rsidRPr="002B602D" w14:paraId="6D08A0D9" w14:textId="77777777" w:rsidTr="002B602D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CFFD" w14:textId="77777777" w:rsidR="002B602D" w:rsidRPr="002B602D" w:rsidRDefault="002B602D" w:rsidP="002B602D">
            <w:pPr>
              <w:jc w:val="left"/>
              <w:rPr>
                <w:rFonts w:eastAsia="Times New Roman" w:cs="Sylfae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504FC" w14:textId="77777777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7BD1CDA" w14:textId="77777777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602D" w:rsidRPr="002B602D" w14:paraId="212F6A20" w14:textId="77777777" w:rsidTr="002B602D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9E37" w14:textId="77777777" w:rsidR="002B602D" w:rsidRPr="002B602D" w:rsidRDefault="002B602D" w:rsidP="002B602D">
            <w:pPr>
              <w:jc w:val="left"/>
              <w:rPr>
                <w:rFonts w:eastAsia="Times New Roman" w:cs="Sylfae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66C70" w14:textId="77777777" w:rsidR="002B602D" w:rsidRPr="002B602D" w:rsidRDefault="002B602D" w:rsidP="002B602D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0FAD0F7" w14:textId="77777777" w:rsidR="002B602D" w:rsidRPr="002B602D" w:rsidRDefault="002B602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2" w:name="_Toc534810160"/>
      <w:r w:rsidR="0016141B">
        <w:lastRenderedPageBreak/>
        <w:t>დანართი 2: საბანკო რეკვიზიტები</w:t>
      </w:r>
      <w:bookmarkEnd w:id="12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39106625" w14:textId="77777777" w:rsid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p w14:paraId="452B6AF7" w14:textId="2F633446" w:rsidR="00342FB7" w:rsidRP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sectPr w:rsidR="00342FB7" w:rsidRPr="00342FB7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F6EE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F6EE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02D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6EED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198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81F2C-D006-4614-B403-3AB1DFF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41</cp:revision>
  <cp:lastPrinted>2018-12-25T15:48:00Z</cp:lastPrinted>
  <dcterms:created xsi:type="dcterms:W3CDTF">2018-12-26T16:22:00Z</dcterms:created>
  <dcterms:modified xsi:type="dcterms:W3CDTF">2019-07-11T07:17:00Z</dcterms:modified>
</cp:coreProperties>
</file>